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1482" w:type="dxa"/>
        <w:tblInd w:w="-147" w:type="dxa"/>
        <w:tblLayout w:type="fixed"/>
        <w:tblCellMar>
          <w:left w:w="10" w:type="dxa"/>
          <w:right w:w="10" w:type="dxa"/>
        </w:tblCellMar>
        <w:tblLook w:val="04A0" w:firstRow="1" w:lastRow="0" w:firstColumn="1" w:lastColumn="0" w:noHBand="0" w:noVBand="1"/>
      </w:tblPr>
      <w:tblGrid>
        <w:gridCol w:w="2275"/>
        <w:gridCol w:w="844"/>
        <w:gridCol w:w="8363"/>
      </w:tblGrid>
      <w:tr w:rsidR="00DA1BF8" w:rsidRPr="00257CC6" w:rsidTr="00D80256">
        <w:trPr>
          <w:trHeight w:hRule="exact" w:val="1901"/>
        </w:trPr>
        <w:tc>
          <w:tcPr>
            <w:tcW w:w="2275" w:type="dxa"/>
            <w:tcBorders>
              <w:top w:val="single" w:sz="4" w:space="0" w:color="auto"/>
              <w:left w:val="single" w:sz="4" w:space="0" w:color="auto"/>
            </w:tcBorders>
            <w:shd w:val="clear" w:color="auto" w:fill="FFFFFF"/>
            <w:vAlign w:val="bottom"/>
          </w:tcPr>
          <w:p w:rsidR="00DA1BF8" w:rsidRPr="00257CC6" w:rsidRDefault="00257CC6" w:rsidP="00257CC6">
            <w:pPr>
              <w:rPr>
                <w:rFonts w:ascii="Times New Roman" w:hAnsi="Times New Roman" w:cs="Times New Roman"/>
              </w:rPr>
            </w:pPr>
            <w:r w:rsidRPr="00257CC6">
              <w:rPr>
                <w:rFonts w:ascii="Times New Roman" w:hAnsi="Times New Roman" w:cs="Times New Roman"/>
                <w:noProof/>
                <w:lang w:bidi="ar-SA"/>
              </w:rPr>
              <w:drawing>
                <wp:inline distT="0" distB="0" distL="0" distR="0" wp14:anchorId="14260445" wp14:editId="117E7E78">
                  <wp:extent cx="1095375" cy="1128873"/>
                  <wp:effectExtent l="19050" t="0" r="9525" b="0"/>
                  <wp:docPr id="1" name="Resim 1"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095795" cy="1129306"/>
                          </a:xfrm>
                          <a:prstGeom prst="rect">
                            <a:avLst/>
                          </a:prstGeom>
                          <a:noFill/>
                          <a:ln w="9525">
                            <a:noFill/>
                            <a:miter lim="800000"/>
                            <a:headEnd/>
                            <a:tailEnd/>
                          </a:ln>
                        </pic:spPr>
                      </pic:pic>
                    </a:graphicData>
                  </a:graphic>
                </wp:inline>
              </w:drawing>
            </w:r>
          </w:p>
        </w:tc>
        <w:tc>
          <w:tcPr>
            <w:tcW w:w="9207" w:type="dxa"/>
            <w:gridSpan w:val="2"/>
            <w:tcBorders>
              <w:top w:val="single" w:sz="4" w:space="0" w:color="auto"/>
              <w:left w:val="single" w:sz="4" w:space="0" w:color="auto"/>
              <w:right w:val="single" w:sz="4" w:space="0" w:color="auto"/>
            </w:tcBorders>
            <w:shd w:val="clear" w:color="auto" w:fill="FFFFFF"/>
            <w:vAlign w:val="center"/>
          </w:tcPr>
          <w:p w:rsidR="00257CC6" w:rsidRPr="00257CC6" w:rsidRDefault="00257CC6" w:rsidP="00257CC6">
            <w:pPr>
              <w:jc w:val="center"/>
              <w:rPr>
                <w:rFonts w:ascii="Times New Roman" w:hAnsi="Times New Roman" w:cs="Times New Roman"/>
                <w:b/>
              </w:rPr>
            </w:pPr>
            <w:r w:rsidRPr="00257CC6">
              <w:rPr>
                <w:rFonts w:ascii="Times New Roman" w:hAnsi="Times New Roman" w:cs="Times New Roman"/>
                <w:b/>
              </w:rPr>
              <w:t>T.C.</w:t>
            </w:r>
          </w:p>
          <w:p w:rsidR="00257CC6" w:rsidRPr="00257CC6" w:rsidRDefault="00257CC6" w:rsidP="00257CC6">
            <w:pPr>
              <w:jc w:val="center"/>
              <w:rPr>
                <w:rFonts w:ascii="Times New Roman" w:hAnsi="Times New Roman" w:cs="Times New Roman"/>
                <w:b/>
              </w:rPr>
            </w:pPr>
            <w:r w:rsidRPr="00257CC6">
              <w:rPr>
                <w:rFonts w:ascii="Times New Roman" w:hAnsi="Times New Roman" w:cs="Times New Roman"/>
                <w:b/>
              </w:rPr>
              <w:t>AĞRI İBRAHİM ÇEÇEN ÜNİVERSİTESİ</w:t>
            </w:r>
          </w:p>
          <w:p w:rsidR="00DA1BF8" w:rsidRPr="00257CC6" w:rsidRDefault="00257CC6" w:rsidP="00257CC6">
            <w:pPr>
              <w:jc w:val="center"/>
              <w:rPr>
                <w:rFonts w:ascii="Times New Roman" w:hAnsi="Times New Roman" w:cs="Times New Roman"/>
              </w:rPr>
            </w:pPr>
            <w:r w:rsidRPr="00257CC6">
              <w:rPr>
                <w:rFonts w:ascii="Times New Roman" w:hAnsi="Times New Roman" w:cs="Times New Roman"/>
                <w:b/>
              </w:rPr>
              <w:t>BİRİM GÖREV TANIMLARI</w:t>
            </w:r>
          </w:p>
        </w:tc>
      </w:tr>
      <w:tr w:rsidR="00DA1BF8" w:rsidRPr="00257CC6" w:rsidTr="00D80256">
        <w:trPr>
          <w:trHeight w:hRule="exact" w:val="494"/>
        </w:trPr>
        <w:tc>
          <w:tcPr>
            <w:tcW w:w="3119" w:type="dxa"/>
            <w:gridSpan w:val="2"/>
            <w:tcBorders>
              <w:top w:val="single" w:sz="4" w:space="0" w:color="auto"/>
              <w:left w:val="single" w:sz="4" w:space="0" w:color="auto"/>
            </w:tcBorders>
            <w:shd w:val="clear" w:color="auto" w:fill="FFFFFF"/>
            <w:vAlign w:val="bottom"/>
          </w:tcPr>
          <w:p w:rsidR="00DA1BF8" w:rsidRPr="00257CC6" w:rsidRDefault="00490706" w:rsidP="00257CC6">
            <w:pPr>
              <w:rPr>
                <w:rFonts w:ascii="Times New Roman" w:hAnsi="Times New Roman" w:cs="Times New Roman"/>
                <w:b/>
              </w:rPr>
            </w:pPr>
            <w:r>
              <w:rPr>
                <w:rFonts w:ascii="Times New Roman" w:hAnsi="Times New Roman" w:cs="Times New Roman"/>
                <w:b/>
              </w:rPr>
              <w:t>ADI-SOYADI:</w:t>
            </w:r>
          </w:p>
        </w:tc>
        <w:tc>
          <w:tcPr>
            <w:tcW w:w="8363" w:type="dxa"/>
            <w:tcBorders>
              <w:top w:val="single" w:sz="4" w:space="0" w:color="auto"/>
              <w:left w:val="single" w:sz="4" w:space="0" w:color="auto"/>
              <w:right w:val="single" w:sz="4" w:space="0" w:color="auto"/>
            </w:tcBorders>
            <w:shd w:val="clear" w:color="auto" w:fill="FFFFFF"/>
            <w:vAlign w:val="bottom"/>
          </w:tcPr>
          <w:p w:rsidR="00DA1BF8" w:rsidRPr="00257CC6" w:rsidRDefault="007B5303" w:rsidP="00490706">
            <w:pPr>
              <w:rPr>
                <w:rFonts w:ascii="Times New Roman" w:hAnsi="Times New Roman" w:cs="Times New Roman"/>
              </w:rPr>
            </w:pPr>
            <w:r>
              <w:rPr>
                <w:rFonts w:ascii="Times New Roman" w:hAnsi="Times New Roman" w:cs="Times New Roman"/>
              </w:rPr>
              <w:t xml:space="preserve">Tahsin ÖZGÜL, Taha YÜZÜAK, </w:t>
            </w:r>
            <w:r w:rsidR="00DC4F69">
              <w:rPr>
                <w:rFonts w:ascii="Times New Roman" w:hAnsi="Times New Roman" w:cs="Times New Roman"/>
              </w:rPr>
              <w:t>Cihat DÜGER, Zeynep BİRİNCİ</w:t>
            </w:r>
          </w:p>
        </w:tc>
      </w:tr>
      <w:tr w:rsidR="00490706" w:rsidRPr="00257CC6" w:rsidTr="00D80256">
        <w:trPr>
          <w:trHeight w:hRule="exact" w:val="870"/>
        </w:trPr>
        <w:tc>
          <w:tcPr>
            <w:tcW w:w="3119" w:type="dxa"/>
            <w:gridSpan w:val="2"/>
            <w:tcBorders>
              <w:top w:val="single" w:sz="4" w:space="0" w:color="auto"/>
              <w:left w:val="single" w:sz="4" w:space="0" w:color="auto"/>
            </w:tcBorders>
            <w:shd w:val="clear" w:color="auto" w:fill="FFFFFF"/>
            <w:vAlign w:val="bottom"/>
          </w:tcPr>
          <w:p w:rsidR="00490706" w:rsidRPr="00257CC6" w:rsidRDefault="00490706" w:rsidP="00510297">
            <w:pPr>
              <w:rPr>
                <w:rFonts w:ascii="Times New Roman" w:hAnsi="Times New Roman" w:cs="Times New Roman"/>
                <w:b/>
              </w:rPr>
            </w:pPr>
            <w:r w:rsidRPr="00257CC6">
              <w:rPr>
                <w:rFonts w:ascii="Times New Roman" w:hAnsi="Times New Roman" w:cs="Times New Roman"/>
                <w:b/>
              </w:rPr>
              <w:t>BİRİM</w:t>
            </w:r>
            <w:r>
              <w:rPr>
                <w:rFonts w:ascii="Times New Roman" w:hAnsi="Times New Roman" w:cs="Times New Roman"/>
                <w:b/>
              </w:rPr>
              <w:t>İ</w:t>
            </w:r>
            <w:r w:rsidRPr="00257CC6">
              <w:rPr>
                <w:rFonts w:ascii="Times New Roman" w:hAnsi="Times New Roman" w:cs="Times New Roman"/>
                <w:b/>
              </w:rPr>
              <w:t>:</w:t>
            </w:r>
          </w:p>
        </w:tc>
        <w:tc>
          <w:tcPr>
            <w:tcW w:w="8363" w:type="dxa"/>
            <w:tcBorders>
              <w:top w:val="single" w:sz="4" w:space="0" w:color="auto"/>
              <w:left w:val="single" w:sz="4" w:space="0" w:color="auto"/>
              <w:right w:val="single" w:sz="4" w:space="0" w:color="auto"/>
            </w:tcBorders>
            <w:shd w:val="clear" w:color="auto" w:fill="FFFFFF"/>
          </w:tcPr>
          <w:p w:rsidR="00490706" w:rsidRPr="00257CC6" w:rsidRDefault="00490706" w:rsidP="00257CC6">
            <w:pPr>
              <w:rPr>
                <w:rFonts w:ascii="Times New Roman" w:hAnsi="Times New Roman" w:cs="Times New Roman"/>
              </w:rPr>
            </w:pPr>
          </w:p>
          <w:p w:rsidR="00490706" w:rsidRPr="00257CC6" w:rsidRDefault="007B5303" w:rsidP="00257CC6">
            <w:pPr>
              <w:rPr>
                <w:rFonts w:ascii="Times New Roman" w:hAnsi="Times New Roman" w:cs="Times New Roman"/>
              </w:rPr>
            </w:pPr>
            <w:r>
              <w:rPr>
                <w:rFonts w:ascii="Times New Roman" w:hAnsi="Times New Roman" w:cs="Times New Roman"/>
              </w:rPr>
              <w:t>Plan ve Proje Birimi</w:t>
            </w:r>
          </w:p>
        </w:tc>
      </w:tr>
      <w:tr w:rsidR="00490706" w:rsidRPr="00257CC6" w:rsidTr="00D80256">
        <w:trPr>
          <w:trHeight w:hRule="exact" w:val="870"/>
        </w:trPr>
        <w:tc>
          <w:tcPr>
            <w:tcW w:w="3119" w:type="dxa"/>
            <w:gridSpan w:val="2"/>
            <w:tcBorders>
              <w:top w:val="single" w:sz="4" w:space="0" w:color="auto"/>
              <w:left w:val="single" w:sz="4" w:space="0" w:color="auto"/>
            </w:tcBorders>
            <w:shd w:val="clear" w:color="auto" w:fill="FFFFFF"/>
          </w:tcPr>
          <w:p w:rsidR="00490706" w:rsidRPr="00257CC6" w:rsidRDefault="00490706" w:rsidP="00510297">
            <w:pPr>
              <w:rPr>
                <w:rFonts w:ascii="Times New Roman" w:hAnsi="Times New Roman" w:cs="Times New Roman"/>
                <w:b/>
              </w:rPr>
            </w:pPr>
          </w:p>
          <w:p w:rsidR="00490706" w:rsidRDefault="00490706" w:rsidP="00510297">
            <w:pPr>
              <w:rPr>
                <w:rFonts w:ascii="Times New Roman" w:hAnsi="Times New Roman" w:cs="Times New Roman"/>
                <w:b/>
              </w:rPr>
            </w:pPr>
            <w:r w:rsidRPr="00257CC6">
              <w:rPr>
                <w:rFonts w:ascii="Times New Roman" w:hAnsi="Times New Roman" w:cs="Times New Roman"/>
                <w:b/>
              </w:rPr>
              <w:t>BAĞLI OLDUĞU BİRİM:</w:t>
            </w:r>
          </w:p>
          <w:p w:rsidR="00490706" w:rsidRPr="00257CC6" w:rsidRDefault="00490706" w:rsidP="00510297">
            <w:pPr>
              <w:rPr>
                <w:rFonts w:ascii="Times New Roman" w:hAnsi="Times New Roman" w:cs="Times New Roman"/>
                <w:b/>
              </w:rPr>
            </w:pPr>
          </w:p>
        </w:tc>
        <w:tc>
          <w:tcPr>
            <w:tcW w:w="8363" w:type="dxa"/>
            <w:tcBorders>
              <w:top w:val="single" w:sz="4" w:space="0" w:color="auto"/>
              <w:left w:val="single" w:sz="4" w:space="0" w:color="auto"/>
              <w:right w:val="single" w:sz="4" w:space="0" w:color="auto"/>
            </w:tcBorders>
            <w:shd w:val="clear" w:color="auto" w:fill="FFFFFF"/>
          </w:tcPr>
          <w:p w:rsidR="00490706" w:rsidRDefault="00490706" w:rsidP="00257CC6">
            <w:pPr>
              <w:rPr>
                <w:rFonts w:ascii="Times New Roman" w:hAnsi="Times New Roman" w:cs="Times New Roman"/>
              </w:rPr>
            </w:pPr>
          </w:p>
          <w:p w:rsidR="00134225" w:rsidRPr="00257CC6" w:rsidRDefault="007B5303" w:rsidP="00257CC6">
            <w:pPr>
              <w:rPr>
                <w:rFonts w:ascii="Times New Roman" w:hAnsi="Times New Roman" w:cs="Times New Roman"/>
              </w:rPr>
            </w:pPr>
            <w:r>
              <w:rPr>
                <w:rFonts w:ascii="Times New Roman" w:hAnsi="Times New Roman" w:cs="Times New Roman"/>
              </w:rPr>
              <w:t xml:space="preserve">Yapı İşleri ve Teknik </w:t>
            </w:r>
            <w:r w:rsidR="00134225">
              <w:rPr>
                <w:rFonts w:ascii="Times New Roman" w:hAnsi="Times New Roman" w:cs="Times New Roman"/>
              </w:rPr>
              <w:t xml:space="preserve"> Daire Başkanlığı</w:t>
            </w:r>
          </w:p>
        </w:tc>
      </w:tr>
      <w:tr w:rsidR="00DA1BF8" w:rsidRPr="00257CC6" w:rsidTr="00D80256">
        <w:trPr>
          <w:trHeight w:hRule="exact" w:val="3278"/>
        </w:trPr>
        <w:tc>
          <w:tcPr>
            <w:tcW w:w="3119" w:type="dxa"/>
            <w:gridSpan w:val="2"/>
            <w:tcBorders>
              <w:top w:val="single" w:sz="4" w:space="0" w:color="auto"/>
              <w:left w:val="single" w:sz="4" w:space="0" w:color="auto"/>
            </w:tcBorders>
            <w:shd w:val="clear" w:color="auto" w:fill="FFFFFF"/>
            <w:vAlign w:val="center"/>
          </w:tcPr>
          <w:p w:rsidR="00DA1BF8" w:rsidRPr="00257CC6" w:rsidRDefault="006A1308" w:rsidP="00257CC6">
            <w:pPr>
              <w:rPr>
                <w:rFonts w:ascii="Times New Roman" w:hAnsi="Times New Roman" w:cs="Times New Roman"/>
                <w:b/>
              </w:rPr>
            </w:pPr>
            <w:r w:rsidRPr="00257CC6">
              <w:rPr>
                <w:rFonts w:ascii="Times New Roman" w:hAnsi="Times New Roman" w:cs="Times New Roman"/>
                <w:b/>
              </w:rPr>
              <w:t>GÖREVİN KISA TANIMI:</w:t>
            </w:r>
          </w:p>
        </w:tc>
        <w:tc>
          <w:tcPr>
            <w:tcW w:w="8363" w:type="dxa"/>
            <w:tcBorders>
              <w:top w:val="single" w:sz="4" w:space="0" w:color="auto"/>
              <w:left w:val="single" w:sz="4" w:space="0" w:color="auto"/>
              <w:right w:val="single" w:sz="4" w:space="0" w:color="auto"/>
            </w:tcBorders>
            <w:shd w:val="clear" w:color="auto" w:fill="FFFFFF"/>
          </w:tcPr>
          <w:p w:rsidR="00DA1BF8" w:rsidRDefault="00DA1BF8" w:rsidP="00FC53C2">
            <w:pPr>
              <w:jc w:val="both"/>
              <w:rPr>
                <w:rFonts w:ascii="Times New Roman" w:hAnsi="Times New Roman" w:cs="Times New Roman"/>
              </w:rPr>
            </w:pPr>
          </w:p>
          <w:p w:rsidR="00134225" w:rsidRPr="00FC53C2" w:rsidRDefault="00DC4F69" w:rsidP="00FC53C2">
            <w:pPr>
              <w:jc w:val="both"/>
              <w:rPr>
                <w:rFonts w:ascii="Times New Roman" w:hAnsi="Times New Roman" w:cs="Times New Roman"/>
              </w:rPr>
            </w:pPr>
            <w:r w:rsidRPr="00DC4F69">
              <w:rPr>
                <w:rFonts w:ascii="Times New Roman" w:eastAsia="Times New Roman" w:hAnsi="Times New Roman" w:cs="Times New Roman"/>
                <w:color w:val="auto"/>
                <w:lang w:bidi="ar-SA"/>
              </w:rPr>
              <w:t>Bina ve tesislerin projelerini yapmak, teknik inceleme ve projelendirme gerektiren her türlü işlerin fizibilite raporlarını hazırlamak,</w:t>
            </w:r>
          </w:p>
        </w:tc>
      </w:tr>
      <w:tr w:rsidR="00DA1BF8" w:rsidRPr="00257CC6" w:rsidTr="00D80256">
        <w:trPr>
          <w:trHeight w:hRule="exact" w:val="844"/>
        </w:trPr>
        <w:tc>
          <w:tcPr>
            <w:tcW w:w="11482" w:type="dxa"/>
            <w:gridSpan w:val="3"/>
            <w:tcBorders>
              <w:top w:val="single" w:sz="4" w:space="0" w:color="auto"/>
              <w:left w:val="single" w:sz="4" w:space="0" w:color="auto"/>
              <w:right w:val="single" w:sz="4" w:space="0" w:color="auto"/>
            </w:tcBorders>
            <w:shd w:val="clear" w:color="auto" w:fill="FFFFFF"/>
          </w:tcPr>
          <w:p w:rsidR="00257CC6" w:rsidRDefault="00257CC6" w:rsidP="00257CC6">
            <w:pPr>
              <w:jc w:val="center"/>
              <w:rPr>
                <w:rFonts w:ascii="Times New Roman" w:hAnsi="Times New Roman" w:cs="Times New Roman"/>
                <w:b/>
              </w:rPr>
            </w:pPr>
          </w:p>
          <w:p w:rsidR="00DA1BF8" w:rsidRPr="00257CC6" w:rsidRDefault="006A1308" w:rsidP="00257CC6">
            <w:pPr>
              <w:jc w:val="center"/>
              <w:rPr>
                <w:rFonts w:ascii="Times New Roman" w:hAnsi="Times New Roman" w:cs="Times New Roman"/>
                <w:b/>
              </w:rPr>
            </w:pPr>
            <w:r w:rsidRPr="00257CC6">
              <w:rPr>
                <w:rFonts w:ascii="Times New Roman" w:hAnsi="Times New Roman" w:cs="Times New Roman"/>
                <w:b/>
              </w:rPr>
              <w:t>GÖREV VE SORUMLULUKLAR</w:t>
            </w:r>
          </w:p>
        </w:tc>
      </w:tr>
      <w:tr w:rsidR="00DA1BF8" w:rsidRPr="00257CC6" w:rsidTr="00D80256">
        <w:trPr>
          <w:trHeight w:hRule="exact" w:val="4009"/>
        </w:trPr>
        <w:tc>
          <w:tcPr>
            <w:tcW w:w="11482" w:type="dxa"/>
            <w:gridSpan w:val="3"/>
            <w:tcBorders>
              <w:top w:val="single" w:sz="4" w:space="0" w:color="auto"/>
              <w:left w:val="single" w:sz="4" w:space="0" w:color="auto"/>
              <w:right w:val="single" w:sz="4" w:space="0" w:color="auto"/>
            </w:tcBorders>
            <w:shd w:val="clear" w:color="auto" w:fill="FFFFFF"/>
          </w:tcPr>
          <w:p w:rsidR="00134225" w:rsidRDefault="00134225" w:rsidP="00134225">
            <w:pPr>
              <w:rPr>
                <w:rFonts w:ascii="Times New Roman" w:hAnsi="Times New Roman" w:cs="Times New Roman"/>
              </w:rPr>
            </w:pPr>
            <w:r>
              <w:rPr>
                <w:rFonts w:ascii="Times New Roman" w:hAnsi="Times New Roman" w:cs="Times New Roman"/>
              </w:rPr>
              <w:t>1)</w:t>
            </w:r>
            <w:r w:rsidR="00DC4F69">
              <w:t xml:space="preserve"> </w:t>
            </w:r>
            <w:r w:rsidR="00DC4F69" w:rsidRPr="00DC4F69">
              <w:rPr>
                <w:rFonts w:ascii="Times New Roman" w:hAnsi="Times New Roman" w:cs="Times New Roman"/>
              </w:rPr>
              <w:t>Üniversitenin ihtiyacı olan okuma salonları, derslikler, dershaneler, amfiler, konferans salonları, yataklı sağlık merkezleri, öğrenci kantin ve lokantaları, toplantı, sinema ve tiyatro salonları, kapalı ve açık spor salon ve sahaları, kamp yerleri gibi bina ve mekanların işlemleri de dahil fizibilite, proje, ihale, yapım sürelerindeki işleri yürütmek İhale dosyalarını hazırlamak,</w:t>
            </w:r>
          </w:p>
          <w:p w:rsidR="00134225" w:rsidRDefault="00134225" w:rsidP="00134225">
            <w:pPr>
              <w:rPr>
                <w:rFonts w:ascii="Times New Roman" w:hAnsi="Times New Roman" w:cs="Times New Roman"/>
              </w:rPr>
            </w:pPr>
          </w:p>
          <w:p w:rsidR="00134225" w:rsidRPr="00134225" w:rsidRDefault="00134225" w:rsidP="00134225">
            <w:pPr>
              <w:rPr>
                <w:rFonts w:ascii="Times New Roman" w:hAnsi="Times New Roman" w:cs="Times New Roman"/>
              </w:rPr>
            </w:pPr>
            <w:r>
              <w:rPr>
                <w:rFonts w:ascii="Times New Roman" w:hAnsi="Times New Roman" w:cs="Times New Roman"/>
              </w:rPr>
              <w:t>2)</w:t>
            </w:r>
            <w:r w:rsidR="00DC4F69">
              <w:t xml:space="preserve"> </w:t>
            </w:r>
            <w:r w:rsidR="00DC4F69" w:rsidRPr="00DC4F69">
              <w:rPr>
                <w:rFonts w:ascii="Times New Roman" w:hAnsi="Times New Roman" w:cs="Times New Roman"/>
              </w:rPr>
              <w:t>İstatistiki bilgilerin takibini, düzenlenmesini ve ilgili yerlere ulaştırılmasını sağlamak,</w:t>
            </w:r>
          </w:p>
          <w:p w:rsidR="00134225" w:rsidRDefault="00134225" w:rsidP="00134225">
            <w:pPr>
              <w:rPr>
                <w:rFonts w:ascii="Times New Roman" w:hAnsi="Times New Roman" w:cs="Times New Roman"/>
              </w:rPr>
            </w:pPr>
            <w:r>
              <w:rPr>
                <w:rFonts w:ascii="Times New Roman" w:hAnsi="Times New Roman" w:cs="Times New Roman"/>
              </w:rPr>
              <w:t>3)</w:t>
            </w:r>
            <w:r w:rsidRPr="00134225">
              <w:rPr>
                <w:rFonts w:ascii="Times New Roman" w:hAnsi="Times New Roman" w:cs="Times New Roman"/>
              </w:rPr>
              <w:t xml:space="preserve"> </w:t>
            </w:r>
            <w:r w:rsidR="00DC4F69" w:rsidRPr="00DC4F69">
              <w:rPr>
                <w:rFonts w:ascii="Times New Roman" w:hAnsi="Times New Roman" w:cs="Times New Roman"/>
              </w:rPr>
              <w:t>Hizmet faaliyetlerinin ekonomik ve etkin bir şekilde yerine getirilmesi için insan ve malzeme gibi mevcut kaynakların en uygun, en verimli şekilde kullanılmasını sağlamak,</w:t>
            </w:r>
            <w:r w:rsidRPr="00134225">
              <w:rPr>
                <w:rFonts w:ascii="Times New Roman" w:hAnsi="Times New Roman" w:cs="Times New Roman"/>
              </w:rPr>
              <w:t xml:space="preserve"> </w:t>
            </w:r>
          </w:p>
          <w:p w:rsidR="00D16426" w:rsidRPr="00134225" w:rsidRDefault="00D16426" w:rsidP="00134225">
            <w:pPr>
              <w:rPr>
                <w:rFonts w:ascii="Times New Roman" w:hAnsi="Times New Roman" w:cs="Times New Roman"/>
              </w:rPr>
            </w:pPr>
            <w:r>
              <w:rPr>
                <w:rFonts w:ascii="Times New Roman" w:hAnsi="Times New Roman" w:cs="Times New Roman"/>
              </w:rPr>
              <w:t xml:space="preserve">4) </w:t>
            </w:r>
            <w:r w:rsidRPr="00D16426">
              <w:rPr>
                <w:rFonts w:ascii="Times New Roman" w:hAnsi="Times New Roman" w:cs="Times New Roman"/>
              </w:rPr>
              <w:t xml:space="preserve">Temel fonksiyon olarak belirlenen faaliyetlerin etkin, verimli, ekonomik ve nitelikli olarak yerine getirilebilmesi için faaliyetleri </w:t>
            </w:r>
            <w:r>
              <w:rPr>
                <w:rFonts w:ascii="Times New Roman" w:hAnsi="Times New Roman" w:cs="Times New Roman"/>
              </w:rPr>
              <w:t>planlamak ve programlamak</w:t>
            </w:r>
            <w:bookmarkStart w:id="0" w:name="_GoBack"/>
            <w:bookmarkEnd w:id="0"/>
          </w:p>
          <w:p w:rsidR="00490706" w:rsidRPr="00134225" w:rsidRDefault="00490706" w:rsidP="00134225">
            <w:pPr>
              <w:rPr>
                <w:rFonts w:ascii="Times New Roman" w:hAnsi="Times New Roman" w:cs="Times New Roman"/>
              </w:rPr>
            </w:pPr>
          </w:p>
        </w:tc>
      </w:tr>
      <w:tr w:rsidR="00DA1BF8" w:rsidRPr="00257CC6" w:rsidTr="00D80256">
        <w:trPr>
          <w:trHeight w:hRule="exact" w:val="991"/>
        </w:trPr>
        <w:tc>
          <w:tcPr>
            <w:tcW w:w="3119" w:type="dxa"/>
            <w:gridSpan w:val="2"/>
            <w:tcBorders>
              <w:top w:val="single" w:sz="4" w:space="0" w:color="auto"/>
              <w:left w:val="single" w:sz="4" w:space="0" w:color="auto"/>
              <w:bottom w:val="single" w:sz="4" w:space="0" w:color="auto"/>
            </w:tcBorders>
            <w:shd w:val="clear" w:color="auto" w:fill="FFFFFF"/>
          </w:tcPr>
          <w:p w:rsidR="00257CC6" w:rsidRPr="00257CC6" w:rsidRDefault="00257CC6" w:rsidP="00257CC6">
            <w:pPr>
              <w:rPr>
                <w:rFonts w:ascii="Times New Roman" w:hAnsi="Times New Roman" w:cs="Times New Roman"/>
              </w:rPr>
            </w:pPr>
          </w:p>
          <w:p w:rsidR="00DA1BF8" w:rsidRPr="00257CC6" w:rsidRDefault="006A1308" w:rsidP="00257CC6">
            <w:pPr>
              <w:rPr>
                <w:rFonts w:ascii="Times New Roman" w:hAnsi="Times New Roman" w:cs="Times New Roman"/>
                <w:b/>
              </w:rPr>
            </w:pPr>
            <w:r w:rsidRPr="00257CC6">
              <w:rPr>
                <w:rFonts w:ascii="Times New Roman" w:hAnsi="Times New Roman" w:cs="Times New Roman"/>
                <w:b/>
              </w:rPr>
              <w:t>DİĞER BİRİMLERLE İLİŞKİSİ:</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rsidR="00134225" w:rsidRDefault="00134225" w:rsidP="00257CC6">
            <w:pPr>
              <w:rPr>
                <w:rFonts w:ascii="Times New Roman" w:hAnsi="Times New Roman" w:cs="Times New Roman"/>
              </w:rPr>
            </w:pPr>
          </w:p>
          <w:p w:rsidR="00DA1BF8" w:rsidRPr="00257CC6" w:rsidRDefault="00134225" w:rsidP="00257CC6">
            <w:pPr>
              <w:rPr>
                <w:rFonts w:ascii="Times New Roman" w:hAnsi="Times New Roman" w:cs="Times New Roman"/>
              </w:rPr>
            </w:pPr>
            <w:r>
              <w:rPr>
                <w:rFonts w:ascii="Times New Roman" w:hAnsi="Times New Roman" w:cs="Times New Roman"/>
              </w:rPr>
              <w:t>Üniversite tüm birimleri</w:t>
            </w:r>
          </w:p>
        </w:tc>
      </w:tr>
    </w:tbl>
    <w:p w:rsidR="00DA1BF8" w:rsidRPr="00257CC6" w:rsidRDefault="00DA1BF8" w:rsidP="00257CC6">
      <w:pPr>
        <w:rPr>
          <w:rFonts w:ascii="Times New Roman" w:hAnsi="Times New Roman" w:cs="Times New Roman"/>
        </w:rPr>
      </w:pPr>
    </w:p>
    <w:sectPr w:rsidR="00DA1BF8" w:rsidRPr="00257CC6" w:rsidSect="00DA1BF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7B" w:rsidRDefault="00FD2F7B" w:rsidP="00DA1BF8">
      <w:r>
        <w:separator/>
      </w:r>
    </w:p>
  </w:endnote>
  <w:endnote w:type="continuationSeparator" w:id="0">
    <w:p w:rsidR="00FD2F7B" w:rsidRDefault="00FD2F7B" w:rsidP="00DA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7B" w:rsidRDefault="00FD2F7B"/>
  </w:footnote>
  <w:footnote w:type="continuationSeparator" w:id="0">
    <w:p w:rsidR="00FD2F7B" w:rsidRDefault="00FD2F7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http://www.agri.edu.tr/logo_2011.jpg" style="width:69.75pt;height:87pt;visibility:visible;mso-wrap-style:square" o:bullet="t">
        <v:imagedata r:id="rId1" o:title="logo_2011"/>
      </v:shape>
    </w:pict>
  </w:numPicBullet>
  <w:abstractNum w:abstractNumId="0" w15:restartNumberingAfterBreak="0">
    <w:nsid w:val="32B91FF4"/>
    <w:multiLevelType w:val="hybridMultilevel"/>
    <w:tmpl w:val="0E90F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D13C11"/>
    <w:multiLevelType w:val="hybridMultilevel"/>
    <w:tmpl w:val="275A2A8A"/>
    <w:lvl w:ilvl="0" w:tplc="041F0001">
      <w:start w:val="1"/>
      <w:numFmt w:val="bullet"/>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abstractNum w:abstractNumId="2" w15:restartNumberingAfterBreak="0">
    <w:nsid w:val="791D16CA"/>
    <w:multiLevelType w:val="hybridMultilevel"/>
    <w:tmpl w:val="D70A1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F8"/>
    <w:rsid w:val="000D0773"/>
    <w:rsid w:val="000F11D6"/>
    <w:rsid w:val="00134225"/>
    <w:rsid w:val="001870DF"/>
    <w:rsid w:val="00257CC6"/>
    <w:rsid w:val="00273CD3"/>
    <w:rsid w:val="002A2547"/>
    <w:rsid w:val="00312922"/>
    <w:rsid w:val="00334886"/>
    <w:rsid w:val="00433C9B"/>
    <w:rsid w:val="00462D70"/>
    <w:rsid w:val="00490706"/>
    <w:rsid w:val="004A0F71"/>
    <w:rsid w:val="00695B8E"/>
    <w:rsid w:val="006A1308"/>
    <w:rsid w:val="00722FB2"/>
    <w:rsid w:val="007434F7"/>
    <w:rsid w:val="007478EB"/>
    <w:rsid w:val="007B5303"/>
    <w:rsid w:val="007F5386"/>
    <w:rsid w:val="008638B1"/>
    <w:rsid w:val="008E272B"/>
    <w:rsid w:val="00986EE0"/>
    <w:rsid w:val="00D16426"/>
    <w:rsid w:val="00D80256"/>
    <w:rsid w:val="00DA1BF8"/>
    <w:rsid w:val="00DC4F69"/>
    <w:rsid w:val="00DD375D"/>
    <w:rsid w:val="00F92B61"/>
    <w:rsid w:val="00FB2B9D"/>
    <w:rsid w:val="00FC53C2"/>
    <w:rsid w:val="00FD2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5C05"/>
  <w15:docId w15:val="{8D00C77D-E7EE-40F6-9931-BABF6CCF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A1BF8"/>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A1BF8"/>
    <w:rPr>
      <w:color w:val="0066CC"/>
      <w:u w:val="single"/>
    </w:rPr>
  </w:style>
  <w:style w:type="character" w:customStyle="1" w:styleId="Gvdemetni2">
    <w:name w:val="Gövde metni (2)_"/>
    <w:basedOn w:val="VarsaylanParagrafYazTipi"/>
    <w:link w:val="Gvdemetni20"/>
    <w:rsid w:val="00DA1BF8"/>
    <w:rPr>
      <w:rFonts w:ascii="Times New Roman" w:eastAsia="Times New Roman" w:hAnsi="Times New Roman" w:cs="Times New Roman"/>
      <w:b w:val="0"/>
      <w:bCs w:val="0"/>
      <w:i w:val="0"/>
      <w:iCs w:val="0"/>
      <w:smallCaps w:val="0"/>
      <w:strike w:val="0"/>
      <w:sz w:val="20"/>
      <w:szCs w:val="20"/>
      <w:u w:val="none"/>
    </w:rPr>
  </w:style>
  <w:style w:type="character" w:customStyle="1" w:styleId="Gvdemetni2ComicSansMS109pt">
    <w:name w:val="Gövde metni (2) + Comic Sans MS;109 pt"/>
    <w:basedOn w:val="Gvdemetni2"/>
    <w:rsid w:val="00DA1BF8"/>
    <w:rPr>
      <w:rFonts w:ascii="Comic Sans MS" w:eastAsia="Comic Sans MS" w:hAnsi="Comic Sans MS" w:cs="Comic Sans MS"/>
      <w:b w:val="0"/>
      <w:bCs w:val="0"/>
      <w:i w:val="0"/>
      <w:iCs w:val="0"/>
      <w:smallCaps w:val="0"/>
      <w:strike w:val="0"/>
      <w:color w:val="000000"/>
      <w:spacing w:val="0"/>
      <w:w w:val="100"/>
      <w:position w:val="0"/>
      <w:sz w:val="218"/>
      <w:szCs w:val="218"/>
      <w:u w:val="none"/>
      <w:lang w:val="tr-TR" w:eastAsia="tr-TR" w:bidi="tr-TR"/>
    </w:rPr>
  </w:style>
  <w:style w:type="character" w:customStyle="1" w:styleId="Gvdemetni2Candara13ptKaln">
    <w:name w:val="Gövde metni (2) + Candara;13 pt;Kalın"/>
    <w:basedOn w:val="Gvdemetni2"/>
    <w:rsid w:val="00DA1BF8"/>
    <w:rPr>
      <w:rFonts w:ascii="Candara" w:eastAsia="Candara" w:hAnsi="Candara" w:cs="Candara"/>
      <w:b/>
      <w:bCs/>
      <w:i w:val="0"/>
      <w:iCs w:val="0"/>
      <w:smallCaps w:val="0"/>
      <w:strike w:val="0"/>
      <w:color w:val="000000"/>
      <w:spacing w:val="0"/>
      <w:w w:val="100"/>
      <w:position w:val="0"/>
      <w:sz w:val="26"/>
      <w:szCs w:val="26"/>
      <w:u w:val="none"/>
      <w:lang w:val="tr-TR" w:eastAsia="tr-TR" w:bidi="tr-TR"/>
    </w:rPr>
  </w:style>
  <w:style w:type="character" w:customStyle="1" w:styleId="Gvdemetni217ptKaln">
    <w:name w:val="Gövde metni (2) + 17 pt;Kalın"/>
    <w:basedOn w:val="Gvdemetni2"/>
    <w:rsid w:val="00DA1BF8"/>
    <w:rPr>
      <w:rFonts w:ascii="Times New Roman" w:eastAsia="Times New Roman" w:hAnsi="Times New Roman" w:cs="Times New Roman"/>
      <w:b/>
      <w:bCs/>
      <w:i w:val="0"/>
      <w:iCs w:val="0"/>
      <w:smallCaps w:val="0"/>
      <w:strike w:val="0"/>
      <w:color w:val="000000"/>
      <w:spacing w:val="0"/>
      <w:w w:val="100"/>
      <w:position w:val="0"/>
      <w:sz w:val="34"/>
      <w:szCs w:val="34"/>
      <w:u w:val="none"/>
      <w:lang w:val="tr-TR" w:eastAsia="tr-TR" w:bidi="tr-TR"/>
    </w:rPr>
  </w:style>
  <w:style w:type="character" w:customStyle="1" w:styleId="Gvdemetni2Candara9pt">
    <w:name w:val="Gövde metni (2) + Candara;9 pt"/>
    <w:basedOn w:val="Gvdemetni2"/>
    <w:rsid w:val="00DA1BF8"/>
    <w:rPr>
      <w:rFonts w:ascii="Candara" w:eastAsia="Candara" w:hAnsi="Candara" w:cs="Candara"/>
      <w:b w:val="0"/>
      <w:bCs w:val="0"/>
      <w:i w:val="0"/>
      <w:iCs w:val="0"/>
      <w:smallCaps w:val="0"/>
      <w:strike w:val="0"/>
      <w:color w:val="000000"/>
      <w:spacing w:val="0"/>
      <w:w w:val="100"/>
      <w:position w:val="0"/>
      <w:sz w:val="18"/>
      <w:szCs w:val="18"/>
      <w:u w:val="none"/>
      <w:lang w:val="tr-TR" w:eastAsia="tr-TR" w:bidi="tr-TR"/>
    </w:rPr>
  </w:style>
  <w:style w:type="character" w:customStyle="1" w:styleId="Gvdemetni2Candara9pt0">
    <w:name w:val="Gövde metni (2) + Candara;9 pt"/>
    <w:basedOn w:val="Gvdemetni2"/>
    <w:rsid w:val="00DA1BF8"/>
    <w:rPr>
      <w:rFonts w:ascii="Candara" w:eastAsia="Candara" w:hAnsi="Candara" w:cs="Candara"/>
      <w:b w:val="0"/>
      <w:bCs w:val="0"/>
      <w:i w:val="0"/>
      <w:iCs w:val="0"/>
      <w:smallCaps w:val="0"/>
      <w:strike w:val="0"/>
      <w:color w:val="000000"/>
      <w:spacing w:val="0"/>
      <w:w w:val="100"/>
      <w:position w:val="0"/>
      <w:sz w:val="18"/>
      <w:szCs w:val="18"/>
      <w:u w:val="none"/>
      <w:lang w:val="tr-TR" w:eastAsia="tr-TR" w:bidi="tr-TR"/>
    </w:rPr>
  </w:style>
  <w:style w:type="character" w:customStyle="1" w:styleId="Gvdemetni2Arial9ptKaln">
    <w:name w:val="Gövde metni (2) + Arial;9 pt;Kalın"/>
    <w:basedOn w:val="Gvdemetni2"/>
    <w:rsid w:val="00DA1BF8"/>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paragraph" w:customStyle="1" w:styleId="Gvdemetni20">
    <w:name w:val="Gövde metni (2)"/>
    <w:basedOn w:val="Normal"/>
    <w:link w:val="Gvdemetni2"/>
    <w:rsid w:val="00DA1BF8"/>
    <w:pPr>
      <w:shd w:val="clear" w:color="auto" w:fill="FFFFFF"/>
    </w:pPr>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257CC6"/>
    <w:rPr>
      <w:rFonts w:ascii="Tahoma" w:hAnsi="Tahoma" w:cs="Tahoma"/>
      <w:sz w:val="16"/>
      <w:szCs w:val="16"/>
    </w:rPr>
  </w:style>
  <w:style w:type="character" w:customStyle="1" w:styleId="BalonMetniChar">
    <w:name w:val="Balon Metni Char"/>
    <w:basedOn w:val="VarsaylanParagrafYazTipi"/>
    <w:link w:val="BalonMetni"/>
    <w:uiPriority w:val="99"/>
    <w:semiHidden/>
    <w:rsid w:val="00257CC6"/>
    <w:rPr>
      <w:rFonts w:ascii="Tahoma" w:hAnsi="Tahoma" w:cs="Tahoma"/>
      <w:color w:val="000000"/>
      <w:sz w:val="16"/>
      <w:szCs w:val="16"/>
    </w:rPr>
  </w:style>
  <w:style w:type="paragraph" w:styleId="ListeParagraf">
    <w:name w:val="List Paragraph"/>
    <w:basedOn w:val="Normal"/>
    <w:uiPriority w:val="34"/>
    <w:qFormat/>
    <w:rsid w:val="00257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bilim</dc:creator>
  <cp:lastModifiedBy>AİCU</cp:lastModifiedBy>
  <cp:revision>3</cp:revision>
  <cp:lastPrinted>2014-11-24T11:06:00Z</cp:lastPrinted>
  <dcterms:created xsi:type="dcterms:W3CDTF">2017-06-29T07:38:00Z</dcterms:created>
  <dcterms:modified xsi:type="dcterms:W3CDTF">2017-06-29T07:48:00Z</dcterms:modified>
</cp:coreProperties>
</file>